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0624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02"/>
      </w:tblGrid>
      <w:tr w:rsidR="00662C3B" w14:paraId="6FDDA0C6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A194E7E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37E5398D" w14:textId="77777777" w:rsidR="00662C3B" w:rsidRDefault="00B511FA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B511FA">
              <w:rPr>
                <w:rFonts w:ascii="Arial" w:eastAsia="Microsoft YaHei" w:hAnsi="Arial" w:cs="Arial"/>
                <w:szCs w:val="21"/>
              </w:rPr>
              <w:t>HK22112310612R</w:t>
            </w:r>
          </w:p>
        </w:tc>
      </w:tr>
      <w:tr w:rsidR="00662C3B" w14:paraId="73740249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246DC1DE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1B337E5" w14:textId="77777777" w:rsidR="00662C3B" w:rsidRDefault="00B511F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B511FA">
              <w:rPr>
                <w:rFonts w:ascii="Arial" w:hAnsi="Arial" w:cs="Arial"/>
                <w:szCs w:val="21"/>
              </w:rPr>
              <w:t>Era Spiral Saucer Adventurer Sled</w:t>
            </w:r>
          </w:p>
        </w:tc>
      </w:tr>
      <w:tr w:rsidR="00662C3B" w14:paraId="6891A8E8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488B044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ADF0362" w14:textId="77777777" w:rsidR="00662C3B" w:rsidRDefault="00B511F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B511FA">
              <w:rPr>
                <w:rFonts w:ascii="Arial" w:hAnsi="Arial" w:cs="Arial"/>
                <w:szCs w:val="21"/>
              </w:rPr>
              <w:t>3100010, 3000939, 3000941, 3000942</w:t>
            </w:r>
          </w:p>
        </w:tc>
      </w:tr>
      <w:tr w:rsidR="00662C3B" w14:paraId="24300CB9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709B21C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A02B03F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6F4554BB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6264D2A5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50F2020C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6B1FE571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51D089FC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84A72B8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7D7EBCD5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41B20FC5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6713CBCF" w14:textId="77777777" w:rsidR="00662C3B" w:rsidRDefault="00B511FA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HK22112310612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021F2228" w14:textId="67D7CB5B" w:rsidR="00662C3B" w:rsidRDefault="00932BBE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948CFF4" wp14:editId="13012DC8">
            <wp:extent cx="1274885" cy="1274885"/>
            <wp:effectExtent l="0" t="0" r="1905" b="1905"/>
            <wp:docPr id="1" name="Picture 1" descr="A picture containing sea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eat, tableware, dishw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6441" cy="128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21DFB5B" wp14:editId="57EFAACE">
            <wp:extent cx="1301261" cy="1301261"/>
            <wp:effectExtent l="0" t="0" r="0" b="0"/>
            <wp:docPr id="2" name="Picture 2" descr="A picture containing tableware, dishware, bow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ware, dishware, bow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09" cy="130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17360358" wp14:editId="189066F9">
            <wp:extent cx="1283677" cy="1283677"/>
            <wp:effectExtent l="0" t="0" r="0" b="0"/>
            <wp:docPr id="4" name="Picture 4" descr="A picture containing tableware, dishware, bowl, water bas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ware, dishware, bowl, water basi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32" cy="13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5CA1512D" wp14:editId="17C16015">
            <wp:extent cx="1301262" cy="1301262"/>
            <wp:effectExtent l="0" t="0" r="0" b="0"/>
            <wp:docPr id="5" name="Picture 5" descr="A picture containing sea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eat, tablewar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1606" cy="132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05DC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8842B9" w:rsidRPr="008842B9">
        <w:rPr>
          <w:rFonts w:ascii="Arial" w:hAnsi="Arial" w:cs="Arial"/>
          <w:szCs w:val="21"/>
        </w:rPr>
        <w:t>Over 6 years old</w:t>
      </w:r>
    </w:p>
    <w:p w14:paraId="3AE3C502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4F09A07D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2E735466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AF2E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4A1A7F" w14:paraId="693B65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19799AFC" w14:textId="77777777" w:rsidR="004A1A7F" w:rsidRDefault="004A1A7F" w:rsidP="004A1A7F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4A1A7F" w14:paraId="1E4995D6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26AEE310" w14:textId="77777777" w:rsidR="004A1A7F" w:rsidRDefault="004A1A7F" w:rsidP="004A1A7F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4A1A7F" w14:paraId="66AE14E2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0805EEFD" w14:textId="77777777" w:rsidR="004A1A7F" w:rsidRDefault="004A1A7F" w:rsidP="004A1A7F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4A1A7F" w14:paraId="7C2F226A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F640C0D" w14:textId="77777777" w:rsidR="004A1A7F" w:rsidRDefault="004A1A7F" w:rsidP="004A1A7F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4A1A7F" w14:paraId="3B07D5C9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7483897" w14:textId="77777777" w:rsidR="004A1A7F" w:rsidRDefault="004A1A7F" w:rsidP="004A1A7F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68AFCAE6" w14:textId="77777777" w:rsidR="004A1A7F" w:rsidRDefault="004A1A7F" w:rsidP="004A1A7F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4A1A7F" w14:paraId="67ECD3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6A16001" w14:textId="77777777" w:rsidR="004A1A7F" w:rsidRDefault="004A1A7F" w:rsidP="004A1A7F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4A1A7F" w14:paraId="644D8D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38D71A6" w14:textId="77777777" w:rsidR="004A1A7F" w:rsidRDefault="004A1A7F" w:rsidP="004A1A7F">
            <w:pPr>
              <w:pStyle w:val="TableParagraph"/>
              <w:spacing w:line="300" w:lineRule="exact"/>
              <w:jc w:val="lef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4A1A7F" w14:paraId="0F0324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E3B2B91" w14:textId="77777777" w:rsidR="004A1A7F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4A1A7F" w14:paraId="54ECD4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6891B66" w14:textId="77777777" w:rsidR="004A1A7F" w:rsidRPr="00E411B4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4A1A7F" w14:paraId="621D54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C938335" w14:textId="77777777" w:rsidR="004A1A7F" w:rsidRPr="00E411B4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4A1A7F" w14:paraId="2ACAF0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A2F7C94" w14:textId="77777777" w:rsidR="004A1A7F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4A1A7F" w14:paraId="444BBA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66C5027" w14:textId="77777777" w:rsidR="004A1A7F" w:rsidRPr="00E411B4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4A1A7F" w14:paraId="4EB4BF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283685B9" w14:textId="77777777" w:rsidR="004A1A7F" w:rsidRPr="00E411B4" w:rsidRDefault="004A1A7F" w:rsidP="004A1A7F">
            <w:pPr>
              <w:pStyle w:val="TableParagraph"/>
              <w:spacing w:line="300" w:lineRule="exact"/>
              <w:jc w:val="lef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4A1A7F" w14:paraId="23C5D9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072B50C2" w14:textId="77777777" w:rsidR="004A1A7F" w:rsidRPr="00EC2015" w:rsidRDefault="004A1A7F" w:rsidP="004A1A7F">
            <w:pPr>
              <w:autoSpaceDE w:val="0"/>
              <w:autoSpaceDN w:val="0"/>
              <w:spacing w:line="300" w:lineRule="exact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4A1A7F" w14:paraId="74B722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82F1D7D" w14:textId="77777777" w:rsidR="004A1A7F" w:rsidRDefault="004A1A7F" w:rsidP="004A1A7F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428B4A88" w14:textId="77777777" w:rsidR="004A1A7F" w:rsidRPr="00EC2015" w:rsidRDefault="004A1A7F" w:rsidP="004A1A7F">
            <w:pPr>
              <w:pStyle w:val="TableParagraph"/>
              <w:spacing w:before="54"/>
              <w:ind w:leftChars="30" w:left="63"/>
              <w:jc w:val="lef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4A1A7F" w14:paraId="3B00CE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0B8C240" w14:textId="77777777" w:rsidR="004A1A7F" w:rsidRDefault="004A1A7F" w:rsidP="004A1A7F">
            <w:pPr>
              <w:pStyle w:val="TableParagraph"/>
              <w:spacing w:before="54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lastRenderedPageBreak/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2903542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FC0EE7A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2789BE00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721272CC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A4ACD41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2B12CD9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932BBE" w14:paraId="59204240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8CAE083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A13EAB7" w14:textId="77777777" w:rsidR="008842B9" w:rsidRPr="004E05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4E05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455917" w14:paraId="34BF54C7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59A6DF0" w14:textId="77777777" w:rsidR="00455917" w:rsidRDefault="004559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50785E1D" w14:textId="77777777" w:rsidR="00455917" w:rsidRPr="00DD5417" w:rsidRDefault="00455917" w:rsidP="008B2415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455917" w14:paraId="13C5EBBF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B2432C2" w14:textId="77777777" w:rsidR="00455917" w:rsidRDefault="004559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6BBF580" w14:textId="77777777" w:rsidR="00455917" w:rsidRPr="00DD5417" w:rsidRDefault="00455917" w:rsidP="008B2415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455917" w14:paraId="204CA235" w14:textId="77777777" w:rsidTr="00492EE1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2AF1B35D" w14:textId="77777777" w:rsidR="00455917" w:rsidRDefault="0045591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157ABA60" w14:textId="77777777" w:rsidR="00455917" w:rsidRPr="00DD5417" w:rsidRDefault="00455917" w:rsidP="008B2415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36F7A0F9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4E74281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46EF24B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5E350C5E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F60F9EA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6607A00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932BBE" w14:paraId="047879A4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4285F18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0BD4F99B" w14:textId="77777777" w:rsidR="008842B9" w:rsidRPr="004E05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4E05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D4361A" w14:paraId="3F4ABF5F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CDF4340" w14:textId="77777777" w:rsidR="00D4361A" w:rsidRDefault="00D436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3C23AA58" w14:textId="77777777" w:rsidR="00D4361A" w:rsidRPr="008842B9" w:rsidRDefault="00D4361A" w:rsidP="00ED71BF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D4361A" w14:paraId="0DFDECFD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19C6B57" w14:textId="77777777" w:rsidR="00D4361A" w:rsidRDefault="00D436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8CEBB8D" w14:textId="77777777" w:rsidR="00D4361A" w:rsidRPr="00DD5417" w:rsidRDefault="00D4361A" w:rsidP="00ED71B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D4361A" w14:paraId="26CF85D3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1795470" w14:textId="77777777" w:rsidR="00D4361A" w:rsidRDefault="00D436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06A9452D" w14:textId="77777777" w:rsidR="00D4361A" w:rsidRPr="00DD5417" w:rsidRDefault="00D4361A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D4361A" w14:paraId="724529D5" w14:textId="77777777" w:rsidTr="003155E3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24DA528" w14:textId="77777777" w:rsidR="00D4361A" w:rsidRDefault="00D4361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77C5972A" w14:textId="77777777" w:rsidR="00D4361A" w:rsidRPr="00DD5417" w:rsidRDefault="00D4361A" w:rsidP="00ED71BF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6262BFCC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164D2D9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13F98B3A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4D2A0362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75EF2FB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09C7464" w14:textId="77777777" w:rsidR="00662C3B" w:rsidRDefault="00B511FA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B511FA">
              <w:rPr>
                <w:rFonts w:ascii="Arial" w:eastAsia="Microsoft YaHei" w:hAnsi="Arial" w:cs="Arial"/>
                <w:szCs w:val="21"/>
              </w:rPr>
              <w:t>HK22112310612R</w:t>
            </w:r>
          </w:p>
        </w:tc>
      </w:tr>
      <w:tr w:rsidR="008842B9" w14:paraId="6E8C3F61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FD0A562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265982F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932BBE" w14:paraId="2F847930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15685331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5E4C4874" w14:textId="77777777" w:rsidR="008842B9" w:rsidRPr="004E0547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4E05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031CF0E4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829E143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9B36B01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662C3B" w:rsidRPr="00932BBE" w14:paraId="66543E76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0852010C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CFECEE6" w14:textId="77777777" w:rsidR="00662C3B" w:rsidRPr="004E0547" w:rsidRDefault="008842B9" w:rsidP="008842B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4E0547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455917" w14:paraId="46E4754A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8ED1B85" w14:textId="77777777" w:rsidR="00455917" w:rsidRDefault="0045591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B459150" w14:textId="77777777" w:rsidR="00455917" w:rsidRDefault="00455917" w:rsidP="008B2415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455917" w14:paraId="47F42F92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5747FCF" w14:textId="77777777" w:rsidR="00455917" w:rsidRDefault="0045591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157FF91" w14:textId="77777777" w:rsidR="00455917" w:rsidRDefault="00455917" w:rsidP="008B2415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455917" w:rsidRPr="00932BBE" w14:paraId="1D843BC3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DD1E254" w14:textId="77777777" w:rsidR="00455917" w:rsidRDefault="0045591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7E4BF1A" w14:textId="77777777" w:rsidR="00455917" w:rsidRPr="004E0547" w:rsidRDefault="00455917" w:rsidP="008B2415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4E0547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455917" w14:paraId="2256DE02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74F5704B" w14:textId="77777777" w:rsidR="00455917" w:rsidRDefault="00455917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6E1DFE4" w14:textId="77777777" w:rsidR="00455917" w:rsidRDefault="00455917" w:rsidP="008B2415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798FC4B2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1B79D5EE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2C10C947" w14:textId="77777777" w:rsidR="00662C3B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p w14:paraId="1B067D04" w14:textId="77777777" w:rsidR="00662C3B" w:rsidRDefault="00662C3B">
      <w:pPr>
        <w:ind w:firstLineChars="100" w:firstLine="211"/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3F86D98F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2F6BC3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2E9FB245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0AF1E7C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3550A48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07842FF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59313976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50764978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0EC3513F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4ED7195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042B5E0A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2562F3D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610866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301C156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639D15A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6031FCE3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8BF729E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4723463A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1C54840F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15AE580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3AEA9F11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F49FA1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40CD23F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5564AF3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5E52365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528BB9D3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12A2A979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054C4E4B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2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3FA" w14:textId="77777777" w:rsidR="00503CAF" w:rsidRDefault="00503CAF">
      <w:r>
        <w:separator/>
      </w:r>
    </w:p>
  </w:endnote>
  <w:endnote w:type="continuationSeparator" w:id="0">
    <w:p w14:paraId="00F33A23" w14:textId="77777777" w:rsidR="00503CAF" w:rsidRDefault="0050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3B9" w14:textId="77777777" w:rsidR="00503CAF" w:rsidRDefault="00503CAF">
      <w:r>
        <w:separator/>
      </w:r>
    </w:p>
  </w:footnote>
  <w:footnote w:type="continuationSeparator" w:id="0">
    <w:p w14:paraId="45CD1D80" w14:textId="77777777" w:rsidR="00503CAF" w:rsidRDefault="0050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EDC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036DCD7F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970696127">
    <w:abstractNumId w:val="0"/>
  </w:num>
  <w:num w:numId="2" w16cid:durableId="109347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0"/>
    <w:rsid w:val="00007409"/>
    <w:rsid w:val="000322A9"/>
    <w:rsid w:val="00032EAB"/>
    <w:rsid w:val="0004534E"/>
    <w:rsid w:val="00061F5B"/>
    <w:rsid w:val="000658AA"/>
    <w:rsid w:val="000755E0"/>
    <w:rsid w:val="00091D14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11C52"/>
    <w:rsid w:val="00234215"/>
    <w:rsid w:val="00236292"/>
    <w:rsid w:val="0029438C"/>
    <w:rsid w:val="0029651B"/>
    <w:rsid w:val="002A3AD3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55917"/>
    <w:rsid w:val="004635B7"/>
    <w:rsid w:val="0047136D"/>
    <w:rsid w:val="004763E9"/>
    <w:rsid w:val="00481343"/>
    <w:rsid w:val="004828E9"/>
    <w:rsid w:val="004A1A7F"/>
    <w:rsid w:val="004B4D3B"/>
    <w:rsid w:val="004D3491"/>
    <w:rsid w:val="004E0547"/>
    <w:rsid w:val="004F1A4B"/>
    <w:rsid w:val="004F601F"/>
    <w:rsid w:val="004F6FA8"/>
    <w:rsid w:val="00503CAF"/>
    <w:rsid w:val="005050E0"/>
    <w:rsid w:val="0052196E"/>
    <w:rsid w:val="00541E89"/>
    <w:rsid w:val="0055360B"/>
    <w:rsid w:val="00555010"/>
    <w:rsid w:val="005561D7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775A"/>
    <w:rsid w:val="006826B9"/>
    <w:rsid w:val="00695905"/>
    <w:rsid w:val="006A4CE5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918B3"/>
    <w:rsid w:val="007958B5"/>
    <w:rsid w:val="007A3C8A"/>
    <w:rsid w:val="007A7C5C"/>
    <w:rsid w:val="007D4CCE"/>
    <w:rsid w:val="007E1D6B"/>
    <w:rsid w:val="00805353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32BBE"/>
    <w:rsid w:val="0094509C"/>
    <w:rsid w:val="00964C3B"/>
    <w:rsid w:val="00966E12"/>
    <w:rsid w:val="00976805"/>
    <w:rsid w:val="00990352"/>
    <w:rsid w:val="00997AE2"/>
    <w:rsid w:val="009A4F37"/>
    <w:rsid w:val="009B19DB"/>
    <w:rsid w:val="009B7843"/>
    <w:rsid w:val="00A06897"/>
    <w:rsid w:val="00A11371"/>
    <w:rsid w:val="00A25914"/>
    <w:rsid w:val="00A27631"/>
    <w:rsid w:val="00A35E47"/>
    <w:rsid w:val="00A4093D"/>
    <w:rsid w:val="00A50F03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11FA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C0795"/>
    <w:rsid w:val="00BC557D"/>
    <w:rsid w:val="00BF2F09"/>
    <w:rsid w:val="00C01C9C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4361A"/>
    <w:rsid w:val="00D820F8"/>
    <w:rsid w:val="00D94E61"/>
    <w:rsid w:val="00DB1827"/>
    <w:rsid w:val="00DC00E4"/>
    <w:rsid w:val="00DF06C1"/>
    <w:rsid w:val="00DF435E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EE5927"/>
    <w:rsid w:val="00F4025E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."/>
  <w:listSeparator w:val=","/>
  <w14:docId w14:val="354435AA"/>
  <w15:docId w15:val="{84372F47-3831-43E5-9BB7-E8E37B0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2023-01-19T13:22:00Z</dcterms:created>
  <dcterms:modified xsi:type="dcterms:W3CDTF">2023-01-19T13:25:00Z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